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69EA" w14:textId="77777777" w:rsidR="00846936" w:rsidRPr="00421059" w:rsidRDefault="00846936" w:rsidP="00D14CBA">
      <w:pPr>
        <w:rPr>
          <w:rFonts w:ascii="Arial Nova Light" w:hAnsi="Arial Nova Light"/>
          <w:b/>
          <w:bCs/>
          <w:color w:val="385623" w:themeColor="accent6" w:themeShade="80"/>
          <w:u w:val="double"/>
        </w:rPr>
      </w:pPr>
    </w:p>
    <w:p w14:paraId="1DA93E87" w14:textId="110106AA" w:rsidR="00D14CBA" w:rsidRPr="00421059" w:rsidRDefault="00D14CBA" w:rsidP="00D14CBA">
      <w:pPr>
        <w:rPr>
          <w:rFonts w:ascii="Arial Nova Light" w:hAnsi="Arial Nova Light"/>
          <w:b/>
          <w:bCs/>
          <w:color w:val="385623" w:themeColor="accent6" w:themeShade="80"/>
          <w:u w:val="double"/>
        </w:rPr>
      </w:pPr>
      <w:r w:rsidRPr="00421059">
        <w:rPr>
          <w:rFonts w:ascii="Arial Nova Light" w:hAnsi="Arial Nova Light"/>
          <w:b/>
          <w:bCs/>
          <w:color w:val="385623" w:themeColor="accent6" w:themeShade="80"/>
          <w:u w:val="double"/>
        </w:rPr>
        <w:t>Artículo 101. Información en materia organizativa</w:t>
      </w:r>
    </w:p>
    <w:p w14:paraId="5B827C6A" w14:textId="77777777" w:rsidR="00D14CBA" w:rsidRPr="00421059" w:rsidRDefault="00D14CBA" w:rsidP="00B64B79">
      <w:pPr>
        <w:jc w:val="both"/>
        <w:rPr>
          <w:rFonts w:ascii="Arial Nova Light" w:hAnsi="Arial Nova Light"/>
          <w:color w:val="385623" w:themeColor="accent6" w:themeShade="80"/>
        </w:rPr>
      </w:pPr>
    </w:p>
    <w:p w14:paraId="4AB02AC8" w14:textId="00D08B73" w:rsidR="00B64B79" w:rsidRPr="00846936" w:rsidRDefault="00B64B79" w:rsidP="00B64B79">
      <w:pPr>
        <w:jc w:val="both"/>
        <w:rPr>
          <w:rFonts w:ascii="Arial Nova Light" w:hAnsi="Arial Nova Light"/>
        </w:rPr>
      </w:pPr>
      <w:r w:rsidRPr="00846936">
        <w:rPr>
          <w:rFonts w:ascii="Arial Nova Light" w:hAnsi="Arial Nova Light"/>
        </w:rPr>
        <w:t>Los cabildos insulares, en materia organizativa, facilitarán y mantendrán actualizada permanentemente información sobre los siguientes extremos:</w:t>
      </w:r>
    </w:p>
    <w:p w14:paraId="636619E3" w14:textId="77777777" w:rsidR="00B64B79" w:rsidRPr="00846936" w:rsidRDefault="00B64B79" w:rsidP="00B64B79">
      <w:pPr>
        <w:jc w:val="both"/>
        <w:rPr>
          <w:rFonts w:ascii="Arial Nova Light" w:hAnsi="Arial Nova Light"/>
        </w:rPr>
      </w:pPr>
    </w:p>
    <w:p w14:paraId="5EFC147F" w14:textId="4DDF8ACF" w:rsidR="00B64B79" w:rsidRPr="00846936" w:rsidRDefault="00B64B79" w:rsidP="00846936">
      <w:pPr>
        <w:pStyle w:val="Prrafodelista"/>
        <w:numPr>
          <w:ilvl w:val="0"/>
          <w:numId w:val="1"/>
        </w:numPr>
        <w:jc w:val="both"/>
        <w:rPr>
          <w:rFonts w:ascii="Arial Nova Light" w:hAnsi="Arial Nova Light"/>
        </w:rPr>
      </w:pPr>
      <w:r w:rsidRPr="00846936">
        <w:rPr>
          <w:rFonts w:ascii="Arial Nova Light" w:hAnsi="Arial Nova Light"/>
        </w:rPr>
        <w:t>Los diferentes órganos de gobierno, unipersonales y colegiados, y sus funciones.</w:t>
      </w:r>
    </w:p>
    <w:p w14:paraId="07AB2FB8" w14:textId="77777777" w:rsidR="00B64B79" w:rsidRPr="00846936" w:rsidRDefault="00B64B79" w:rsidP="00B64B79">
      <w:pPr>
        <w:jc w:val="both"/>
        <w:rPr>
          <w:rFonts w:ascii="Arial Nova Light" w:hAnsi="Arial Nova Light"/>
        </w:rPr>
      </w:pPr>
    </w:p>
    <w:p w14:paraId="4D5268AE" w14:textId="5E8B5043" w:rsidR="00B64B79" w:rsidRPr="00846936" w:rsidRDefault="00B64B79" w:rsidP="00846936">
      <w:pPr>
        <w:pStyle w:val="Prrafodelista"/>
        <w:numPr>
          <w:ilvl w:val="0"/>
          <w:numId w:val="1"/>
        </w:numPr>
        <w:jc w:val="both"/>
        <w:rPr>
          <w:rFonts w:ascii="Arial Nova Light" w:hAnsi="Arial Nova Light"/>
        </w:rPr>
      </w:pPr>
      <w:r w:rsidRPr="00846936">
        <w:rPr>
          <w:rFonts w:ascii="Arial Nova Light" w:hAnsi="Arial Nova Light"/>
        </w:rPr>
        <w:t>Los órganos superiores, directivos y colegiados, así como los organismos y entidades públicas adscritas, sus competencias y funciones, la composición y personas titulares de los mismos, así como el número de efectivos de personal funcionario y laboral que tenga adscrito a cada órgano, organismo o entidad.</w:t>
      </w:r>
    </w:p>
    <w:p w14:paraId="6D86B5F2" w14:textId="77777777" w:rsidR="00B64B79" w:rsidRPr="00846936" w:rsidRDefault="00B64B79" w:rsidP="00B64B79">
      <w:pPr>
        <w:jc w:val="both"/>
        <w:rPr>
          <w:rFonts w:ascii="Arial Nova Light" w:hAnsi="Arial Nova Light"/>
        </w:rPr>
      </w:pPr>
    </w:p>
    <w:p w14:paraId="63FF03D7" w14:textId="2EA0AB55" w:rsidR="00B64B79" w:rsidRPr="00846936" w:rsidRDefault="00B64B79" w:rsidP="00846936">
      <w:pPr>
        <w:pStyle w:val="Prrafodelista"/>
        <w:numPr>
          <w:ilvl w:val="0"/>
          <w:numId w:val="1"/>
        </w:numPr>
        <w:jc w:val="both"/>
        <w:rPr>
          <w:rFonts w:ascii="Arial Nova Light" w:hAnsi="Arial Nova Light"/>
        </w:rPr>
      </w:pPr>
      <w:r w:rsidRPr="00846936">
        <w:rPr>
          <w:rFonts w:ascii="Arial Nova Light" w:hAnsi="Arial Nova Light"/>
        </w:rPr>
        <w:t>Los organismos autónomos y demás entidades públicas vinculadas o dependientes, especificando las funciones y competencias, los recursos que financian sus actividades, régimen presupuestario y contable, los órganos de dirección y su composición, personas titulares de los mismos, el número de personas adscritas al organismo o entidad.</w:t>
      </w:r>
    </w:p>
    <w:p w14:paraId="494343EB" w14:textId="77777777" w:rsidR="00B64B79" w:rsidRPr="00846936" w:rsidRDefault="00B64B79" w:rsidP="00B64B79">
      <w:pPr>
        <w:jc w:val="both"/>
        <w:rPr>
          <w:rFonts w:ascii="Arial Nova Light" w:hAnsi="Arial Nova Light"/>
        </w:rPr>
      </w:pPr>
    </w:p>
    <w:p w14:paraId="34916F08" w14:textId="1BCFFE1D" w:rsidR="00B64B79" w:rsidRPr="00846936" w:rsidRDefault="00B64B79" w:rsidP="00846936">
      <w:pPr>
        <w:pStyle w:val="Prrafodelista"/>
        <w:numPr>
          <w:ilvl w:val="0"/>
          <w:numId w:val="1"/>
        </w:numPr>
        <w:jc w:val="both"/>
        <w:rPr>
          <w:rFonts w:ascii="Arial Nova Light" w:hAnsi="Arial Nova Light"/>
        </w:rPr>
      </w:pPr>
      <w:r w:rsidRPr="00846936">
        <w:rPr>
          <w:rFonts w:ascii="Arial Nova Light" w:hAnsi="Arial Nova Light"/>
        </w:rPr>
        <w:t>Las unidades administrativas a nivel de servicio o equivalentes, de cada uno de los órganos superiores o directivos, especificando sus responsables y las funciones que tienen atribuidas.</w:t>
      </w:r>
    </w:p>
    <w:p w14:paraId="4A5D4585" w14:textId="77777777" w:rsidR="00B64B79" w:rsidRPr="00846936" w:rsidRDefault="00B64B79" w:rsidP="00B64B79">
      <w:pPr>
        <w:jc w:val="both"/>
        <w:rPr>
          <w:rFonts w:ascii="Arial Nova Light" w:hAnsi="Arial Nova Light"/>
        </w:rPr>
      </w:pPr>
    </w:p>
    <w:p w14:paraId="7740E152" w14:textId="2A7B97BE" w:rsidR="00B64B79" w:rsidRPr="00846936" w:rsidRDefault="00B64B79" w:rsidP="00846936">
      <w:pPr>
        <w:pStyle w:val="Prrafodelista"/>
        <w:numPr>
          <w:ilvl w:val="0"/>
          <w:numId w:val="1"/>
        </w:numPr>
        <w:jc w:val="both"/>
        <w:rPr>
          <w:rFonts w:ascii="Arial Nova Light" w:hAnsi="Arial Nova Light"/>
        </w:rPr>
      </w:pPr>
      <w:r w:rsidRPr="00846936">
        <w:rPr>
          <w:rFonts w:ascii="Arial Nova Light" w:hAnsi="Arial Nova Light"/>
        </w:rPr>
        <w:t xml:space="preserve">Las sociedades mercantiles, fundaciones, consorcios y demás entidades privadas en las que participen mayoritariamente, especificando el objeto social, fin fundacional o funciones de </w:t>
      </w:r>
      <w:proofErr w:type="gramStart"/>
      <w:r w:rsidRPr="00846936">
        <w:rPr>
          <w:rFonts w:ascii="Arial Nova Light" w:hAnsi="Arial Nova Light"/>
        </w:rPr>
        <w:t>los mismos</w:t>
      </w:r>
      <w:proofErr w:type="gramEnd"/>
      <w:r w:rsidRPr="00846936">
        <w:rPr>
          <w:rFonts w:ascii="Arial Nova Light" w:hAnsi="Arial Nova Light"/>
        </w:rPr>
        <w:t>, capital social, dotación fundacional o participación, los recursos que financien sus actividades, sus órganos y composición, las personas titulares de los órganos de dirección, así como el número de personas que prestan servicios en la entidad</w:t>
      </w:r>
    </w:p>
    <w:p w14:paraId="0F10F71C" w14:textId="77777777" w:rsidR="00B64B79" w:rsidRPr="00846936" w:rsidRDefault="00B64B79" w:rsidP="00B64B79">
      <w:pPr>
        <w:jc w:val="both"/>
        <w:rPr>
          <w:rFonts w:ascii="Arial Nova Light" w:hAnsi="Arial Nova Light"/>
        </w:rPr>
      </w:pPr>
    </w:p>
    <w:p w14:paraId="18E4AB71" w14:textId="7CDAEB85" w:rsidR="00B64B79" w:rsidRPr="00846936" w:rsidRDefault="00B64B79" w:rsidP="00846936">
      <w:pPr>
        <w:pStyle w:val="Prrafodelista"/>
        <w:numPr>
          <w:ilvl w:val="0"/>
          <w:numId w:val="1"/>
        </w:numPr>
        <w:jc w:val="both"/>
        <w:rPr>
          <w:rFonts w:ascii="Arial Nova Light" w:hAnsi="Arial Nova Light"/>
        </w:rPr>
      </w:pPr>
      <w:r w:rsidRPr="00846936">
        <w:rPr>
          <w:rFonts w:ascii="Arial Nova Light" w:hAnsi="Arial Nova Light"/>
        </w:rPr>
        <w:t>Los acuerdos de la corporación en los que se disponga la creación, modificación, participación o extinción de las sociedades mercantiles, fundaciones y consorcios, así como los estatutos por los que han de regirse, y sus modificaciones.</w:t>
      </w:r>
    </w:p>
    <w:p w14:paraId="1791BF5B" w14:textId="77777777" w:rsidR="00B64B79" w:rsidRPr="00846936" w:rsidRDefault="00B64B79" w:rsidP="00B64B79">
      <w:pPr>
        <w:jc w:val="both"/>
        <w:rPr>
          <w:rFonts w:ascii="Arial Nova Light" w:hAnsi="Arial Nova Light"/>
        </w:rPr>
      </w:pPr>
    </w:p>
    <w:p w14:paraId="4D66CD77" w14:textId="77777777" w:rsidR="00B64B79" w:rsidRPr="00846936" w:rsidRDefault="00B64B79" w:rsidP="00B64B79">
      <w:pPr>
        <w:jc w:val="both"/>
        <w:rPr>
          <w:rFonts w:ascii="Arial Nova Light" w:hAnsi="Arial Nova Light"/>
        </w:rPr>
      </w:pPr>
      <w:r w:rsidRPr="00846936">
        <w:rPr>
          <w:rFonts w:ascii="Arial Nova Light" w:hAnsi="Arial Nova Light"/>
        </w:rPr>
        <w:t>La Fundación Tenerife Rural Pública información relativa al apartado e). El resto de la Información corresponde al Cabildo Insular de Tenerife, ya que la Fundación Tenerife Rural forma parte de las empresas de su sector Público dependiente.</w:t>
      </w:r>
    </w:p>
    <w:p w14:paraId="7BE52C0A" w14:textId="77777777" w:rsidR="00B64B79" w:rsidRPr="00846936" w:rsidRDefault="00B64B79" w:rsidP="00B64B79">
      <w:pPr>
        <w:jc w:val="both"/>
        <w:rPr>
          <w:rFonts w:ascii="Arial Nova Light" w:hAnsi="Arial Nova Light"/>
        </w:rPr>
      </w:pPr>
    </w:p>
    <w:p w14:paraId="1CD9A616" w14:textId="21D7655C" w:rsidR="00072C4F" w:rsidRPr="00846936" w:rsidRDefault="00B64B79" w:rsidP="00B64B79">
      <w:pPr>
        <w:jc w:val="both"/>
        <w:rPr>
          <w:rFonts w:ascii="Arial Nova Light" w:hAnsi="Arial Nova Light"/>
        </w:rPr>
      </w:pPr>
      <w:r w:rsidRPr="00846936">
        <w:rPr>
          <w:rFonts w:ascii="Arial Nova Light" w:hAnsi="Arial Nova Light"/>
        </w:rPr>
        <w:t>Pueden consultar la información en el siguiente enlace Transparencia del cabildo</w:t>
      </w:r>
    </w:p>
    <w:sectPr w:rsidR="00072C4F" w:rsidRPr="0084693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6464" w14:textId="77777777" w:rsidR="006A26A4" w:rsidRDefault="006A26A4" w:rsidP="00846936">
      <w:r>
        <w:separator/>
      </w:r>
    </w:p>
  </w:endnote>
  <w:endnote w:type="continuationSeparator" w:id="0">
    <w:p w14:paraId="006870A9" w14:textId="77777777" w:rsidR="006A26A4" w:rsidRDefault="006A26A4" w:rsidP="0084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FDC2" w14:textId="77777777" w:rsidR="006A26A4" w:rsidRDefault="006A26A4" w:rsidP="00846936">
      <w:r>
        <w:separator/>
      </w:r>
    </w:p>
  </w:footnote>
  <w:footnote w:type="continuationSeparator" w:id="0">
    <w:p w14:paraId="171B1AF5" w14:textId="77777777" w:rsidR="006A26A4" w:rsidRDefault="006A26A4" w:rsidP="00846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799E" w14:textId="71F5E3E5" w:rsidR="00846936" w:rsidRPr="00846936" w:rsidRDefault="00846936" w:rsidP="00846936">
    <w:pPr>
      <w:pStyle w:val="Encabezado"/>
    </w:pPr>
    <w:r>
      <w:rPr>
        <w:noProof/>
      </w:rPr>
      <w:drawing>
        <wp:inline distT="0" distB="0" distL="0" distR="0" wp14:anchorId="0134B404" wp14:editId="044CB9B7">
          <wp:extent cx="1627460" cy="632460"/>
          <wp:effectExtent l="0" t="0" r="0" b="0"/>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57893" cy="644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6E3C"/>
    <w:multiLevelType w:val="hybridMultilevel"/>
    <w:tmpl w:val="9E000A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69640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1D"/>
    <w:rsid w:val="00072C4F"/>
    <w:rsid w:val="00421059"/>
    <w:rsid w:val="006159AD"/>
    <w:rsid w:val="006A26A4"/>
    <w:rsid w:val="00846936"/>
    <w:rsid w:val="00B64B79"/>
    <w:rsid w:val="00C4001D"/>
    <w:rsid w:val="00D14CBA"/>
    <w:rsid w:val="00DB0B65"/>
    <w:rsid w:val="00DB4D78"/>
    <w:rsid w:val="00E46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A7C86"/>
  <w15:chartTrackingRefBased/>
  <w15:docId w15:val="{1B7A9DC9-8148-4DC5-9767-C171C9F3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B65"/>
    <w:pPr>
      <w:spacing w:after="0" w:line="240" w:lineRule="auto"/>
      <w:jc w:val="center"/>
    </w:pPr>
    <w:rPr>
      <w:rFonts w:ascii="Garamond" w:hAnsi="Garamond"/>
      <w:color w:val="333333"/>
      <w:sz w:val="24"/>
      <w:szCs w:val="20"/>
    </w:rPr>
  </w:style>
  <w:style w:type="paragraph" w:styleId="Ttulo1">
    <w:name w:val="heading 1"/>
    <w:basedOn w:val="Normal"/>
    <w:next w:val="Normal"/>
    <w:link w:val="Ttulo1Car"/>
    <w:qFormat/>
    <w:rsid w:val="00DB0B65"/>
    <w:pPr>
      <w:outlineLvl w:val="0"/>
    </w:pPr>
    <w:rPr>
      <w:rFonts w:eastAsia="Times New Roman" w:cs="Times New Roman"/>
      <w:caps/>
      <w:sz w:val="56"/>
      <w:szCs w:val="56"/>
    </w:rPr>
  </w:style>
  <w:style w:type="paragraph" w:styleId="Ttulo3">
    <w:name w:val="heading 3"/>
    <w:basedOn w:val="Normal"/>
    <w:next w:val="Normal"/>
    <w:link w:val="Ttulo3Car"/>
    <w:semiHidden/>
    <w:unhideWhenUsed/>
    <w:qFormat/>
    <w:rsid w:val="00DB0B65"/>
    <w:pPr>
      <w:spacing w:before="240" w:after="240"/>
      <w:outlineLvl w:val="2"/>
    </w:pPr>
    <w:rPr>
      <w:rFonts w:eastAsia="Times New Roman" w:cs="Times New Roman"/>
      <w:caps/>
      <w:sz w:val="72"/>
      <w:szCs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0B65"/>
    <w:rPr>
      <w:rFonts w:ascii="Garamond" w:eastAsia="Times New Roman" w:hAnsi="Garamond" w:cs="Times New Roman"/>
      <w:caps/>
      <w:color w:val="333333"/>
      <w:sz w:val="56"/>
      <w:szCs w:val="56"/>
      <w:lang w:val="en-US"/>
    </w:rPr>
  </w:style>
  <w:style w:type="character" w:customStyle="1" w:styleId="Ttulo3Car">
    <w:name w:val="Título 3 Car"/>
    <w:basedOn w:val="Fuentedeprrafopredeter"/>
    <w:link w:val="Ttulo3"/>
    <w:semiHidden/>
    <w:rsid w:val="00DB0B65"/>
    <w:rPr>
      <w:rFonts w:ascii="Garamond" w:eastAsia="Times New Roman" w:hAnsi="Garamond" w:cs="Times New Roman"/>
      <w:caps/>
      <w:color w:val="333333"/>
      <w:sz w:val="72"/>
      <w:szCs w:val="72"/>
      <w:lang w:val="en-US"/>
    </w:rPr>
  </w:style>
  <w:style w:type="paragraph" w:styleId="Encabezado">
    <w:name w:val="header"/>
    <w:basedOn w:val="Normal"/>
    <w:link w:val="EncabezadoCar"/>
    <w:uiPriority w:val="99"/>
    <w:unhideWhenUsed/>
    <w:rsid w:val="00846936"/>
    <w:pPr>
      <w:tabs>
        <w:tab w:val="center" w:pos="4252"/>
        <w:tab w:val="right" w:pos="8504"/>
      </w:tabs>
    </w:pPr>
  </w:style>
  <w:style w:type="character" w:customStyle="1" w:styleId="EncabezadoCar">
    <w:name w:val="Encabezado Car"/>
    <w:basedOn w:val="Fuentedeprrafopredeter"/>
    <w:link w:val="Encabezado"/>
    <w:uiPriority w:val="99"/>
    <w:rsid w:val="00846936"/>
    <w:rPr>
      <w:rFonts w:ascii="Garamond" w:hAnsi="Garamond"/>
      <w:color w:val="333333"/>
      <w:sz w:val="24"/>
      <w:szCs w:val="20"/>
    </w:rPr>
  </w:style>
  <w:style w:type="paragraph" w:styleId="Piedepgina">
    <w:name w:val="footer"/>
    <w:basedOn w:val="Normal"/>
    <w:link w:val="PiedepginaCar"/>
    <w:uiPriority w:val="99"/>
    <w:unhideWhenUsed/>
    <w:rsid w:val="00846936"/>
    <w:pPr>
      <w:tabs>
        <w:tab w:val="center" w:pos="4252"/>
        <w:tab w:val="right" w:pos="8504"/>
      </w:tabs>
    </w:pPr>
  </w:style>
  <w:style w:type="character" w:customStyle="1" w:styleId="PiedepginaCar">
    <w:name w:val="Pie de página Car"/>
    <w:basedOn w:val="Fuentedeprrafopredeter"/>
    <w:link w:val="Piedepgina"/>
    <w:uiPriority w:val="99"/>
    <w:rsid w:val="00846936"/>
    <w:rPr>
      <w:rFonts w:ascii="Garamond" w:hAnsi="Garamond"/>
      <w:color w:val="333333"/>
      <w:sz w:val="24"/>
      <w:szCs w:val="20"/>
    </w:rPr>
  </w:style>
  <w:style w:type="paragraph" w:styleId="Prrafodelista">
    <w:name w:val="List Paragraph"/>
    <w:basedOn w:val="Normal"/>
    <w:uiPriority w:val="34"/>
    <w:qFormat/>
    <w:rsid w:val="0084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a:spPr>
      <a:bodyPr rot="0" vertOverflow="clip" horzOverflow="clip"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1788</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Tenerife Rural</dc:creator>
  <cp:keywords/>
  <dc:description/>
  <cp:lastModifiedBy>Tenerife Rural</cp:lastModifiedBy>
  <cp:revision>11</cp:revision>
  <dcterms:created xsi:type="dcterms:W3CDTF">2023-01-25T10:58:00Z</dcterms:created>
  <dcterms:modified xsi:type="dcterms:W3CDTF">2023-01-25T14:02:00Z</dcterms:modified>
</cp:coreProperties>
</file>