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4AC2" w14:textId="77777777" w:rsidR="00DC4C38" w:rsidRDefault="00DC4C38" w:rsidP="00C34109">
      <w:pPr>
        <w:rPr>
          <w:rFonts w:ascii="Arial Nova Light" w:hAnsi="Arial Nova Light"/>
          <w:b/>
          <w:bCs/>
          <w:szCs w:val="24"/>
          <w:u w:val="double"/>
        </w:rPr>
      </w:pPr>
    </w:p>
    <w:p w14:paraId="5522BE46" w14:textId="3067F283" w:rsidR="00B97409" w:rsidRPr="007C225F" w:rsidRDefault="00B97409" w:rsidP="00C34109">
      <w:pPr>
        <w:rPr>
          <w:rFonts w:ascii="Arial Nova Light" w:hAnsi="Arial Nova Light"/>
          <w:b/>
          <w:bCs/>
          <w:color w:val="385623" w:themeColor="accent6" w:themeShade="80"/>
          <w:szCs w:val="24"/>
          <w:u w:val="double"/>
        </w:rPr>
      </w:pPr>
      <w:r w:rsidRPr="007C225F">
        <w:rPr>
          <w:rFonts w:ascii="Arial Nova Light" w:hAnsi="Arial Nova Light"/>
          <w:b/>
          <w:bCs/>
          <w:color w:val="385623" w:themeColor="accent6" w:themeShade="80"/>
          <w:szCs w:val="24"/>
          <w:u w:val="double"/>
        </w:rPr>
        <w:t>Artículo 108. Información económico-financiera.</w:t>
      </w:r>
    </w:p>
    <w:p w14:paraId="5BADE79C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399B29C8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Los cabildos insulares, respecto de su gestión económico-financiera y la de los organismos y entidades vinculadas o dependientes de los mismos, publicarán y mantendrán permanentemente actualizada la información siguiente:</w:t>
      </w:r>
    </w:p>
    <w:p w14:paraId="109EBCE5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34C14B80" w14:textId="48C7F5B2" w:rsidR="00B97409" w:rsidRPr="00C34109" w:rsidRDefault="00B97409" w:rsidP="00C34109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Información presupuestaria y contable. Será objeto de publicación la siguiente información:</w:t>
      </w:r>
    </w:p>
    <w:p w14:paraId="767A2AB7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47C597AE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a) El presupuesto aprobado inicialmente, así como la documentación preceptiva que debe adjuntarse al mismo.</w:t>
      </w:r>
    </w:p>
    <w:p w14:paraId="0258C8F4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2321EAD8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b) Las alegaciones y reclamaciones presentadas durante el trámite de exposición pública.</w:t>
      </w:r>
    </w:p>
    <w:p w14:paraId="673B2EC5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647E254A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c) El presupuesto aprobado definitivamente, tanto de la corporación como de los organismos autónomos, entidades dependientes, consorcios, y sociedades mercantiles, con descripción de las principales partidas presupuestarias.</w:t>
      </w:r>
    </w:p>
    <w:p w14:paraId="56696D09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2588D45A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d) Los informes periódicos de ejecución de los presupuestos y del movimiento y la situación de la tesorería.</w:t>
      </w:r>
    </w:p>
    <w:p w14:paraId="0D47519F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0412FAD6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e) Las modificaciones presupuestarias aprobadas por el pleno y por el consejo de gobierno.</w:t>
      </w:r>
    </w:p>
    <w:p w14:paraId="672D8E73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59BEC025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f) Los informes sobre cumplimiento de los objetivos de estabilidad presupuestaria, de deuda pública y de la regla de gasto, y sus actualizaciones.</w:t>
      </w:r>
    </w:p>
    <w:p w14:paraId="05DE3AA4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397C47F9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g) Los planes económico-financieros aprobados para el cumplimiento de los objetivos de estabilidad presupuestaria, de deuda pública y de la regla de gasto.</w:t>
      </w:r>
    </w:p>
    <w:p w14:paraId="6FE1DD3E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46F17FCB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h) Los planes de reequilibrio aprobados para los supuestos de déficit estructural.</w:t>
      </w:r>
    </w:p>
    <w:p w14:paraId="39C07AB8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2830B4DE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i) Los planes de ajuste aprobados por medidas de apoyo a la liquidez.</w:t>
      </w:r>
    </w:p>
    <w:p w14:paraId="6F97822F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226A479A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j) Los informes de seguimiento de los planes relacionados en las letras g), h) e i) anteriores.</w:t>
      </w:r>
    </w:p>
    <w:p w14:paraId="6249A29B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3DEFEEF9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k) Las cuentas anuales de las sociedades mercantiles y fundaciones dependientes del cabildo insular.</w:t>
      </w:r>
    </w:p>
    <w:p w14:paraId="38AF980E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43692382" w14:textId="77777777" w:rsidR="00B97409" w:rsidRPr="00C34109" w:rsidRDefault="00B97409" w:rsidP="00D8685E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l) Los informes de auditoría de cuentas y los de fiscalización por parte de los órganos de control externo (Audiencia de Cuentas de Canarias o Tribunal de Cuentas), de la corporación y de los organismos y entidades vinculadas o dependientes.</w:t>
      </w:r>
    </w:p>
    <w:p w14:paraId="33840493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07983629" w14:textId="1173ACAD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 xml:space="preserve"> </w:t>
      </w:r>
    </w:p>
    <w:p w14:paraId="75626BA7" w14:textId="6FA20B75" w:rsidR="00B97409" w:rsidRPr="00C34109" w:rsidRDefault="00B97409" w:rsidP="00C34109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Transparencia en los ingresos y gastos. Será objeto de publicación:</w:t>
      </w:r>
    </w:p>
    <w:p w14:paraId="5BC8DEAD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44137A2D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a) La información básica sobre la financiación de la entidad local: Tributos propios y participación en tributos del Estado y de la comunidad autónoma. BOLETÍN OFICIAL DEL ESTADO LEGISLACIÓN CONSOLIDADA Página 43</w:t>
      </w:r>
    </w:p>
    <w:p w14:paraId="3A42D655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31254762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b) Los ingresos fiscales por habitante: Capítulos I, II y III de ingresos/número de habitantes.</w:t>
      </w:r>
    </w:p>
    <w:p w14:paraId="7E303F88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1C0248CF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c) El gasto por habitante.</w:t>
      </w:r>
    </w:p>
    <w:p w14:paraId="1EAFDF2E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5C11A11B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d) La inversión realizada por habitante.</w:t>
      </w:r>
    </w:p>
    <w:p w14:paraId="2B5E67E5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5FC482EC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e) Los gastos de personal y su porcentaje sobre el gasto total.</w:t>
      </w:r>
    </w:p>
    <w:p w14:paraId="10DF838F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69C6C709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f) El gasto efectuado en concepto de arrendamiento de bienes inmuebles.</w:t>
      </w:r>
    </w:p>
    <w:p w14:paraId="09CE860E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52F97C22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g) Los gastos realizados en campañas de publicidad institucional.</w:t>
      </w:r>
    </w:p>
    <w:p w14:paraId="481C1545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7868C7A3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h) El gasto realizado en concepto de patrocinio.</w:t>
      </w:r>
    </w:p>
    <w:p w14:paraId="66BFB4AB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6382F915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i) El gasto total efectuado en concepto de ayudas o subvenciones para actividades económicas.</w:t>
      </w:r>
    </w:p>
    <w:p w14:paraId="329A8939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6D8F2D71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j) Los convenios de aplazamiento o fraccionamiento de pagos y sus condiciones de las deudas con la Agencia Tributaria, la Tesorería General de la Seguridad Social y otras entidades públicas o privadas.</w:t>
      </w:r>
    </w:p>
    <w:p w14:paraId="28CF2ACF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2EAA0A43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k) Información trimestral de las obligaciones frente a terceros, vencidas, líquidas, exigibles, no imputadas al presupuesto.</w:t>
      </w:r>
    </w:p>
    <w:p w14:paraId="71EE7327" w14:textId="0E1F3B98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63C48DAF" w14:textId="6058C7A7" w:rsidR="00B97409" w:rsidRPr="00C34109" w:rsidRDefault="00B97409" w:rsidP="00C34109">
      <w:pPr>
        <w:pStyle w:val="Prrafodelista"/>
        <w:numPr>
          <w:ilvl w:val="0"/>
          <w:numId w:val="1"/>
        </w:numPr>
        <w:ind w:left="0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Transparencia en el endeudamiento del cabildo insular. Se hará público y mantendrá actualizado:</w:t>
      </w:r>
    </w:p>
    <w:p w14:paraId="067C6FC9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6ED91323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a) El importe de la deuda pública actual del cabildo insular y su evolución a lo largo de los cinco ejercicios anteriores, recogiendo el endeudamiento público por habitante y el endeudamiento relativo (deuda del cabildo insular/presupuesto total del cabildo insular).</w:t>
      </w:r>
    </w:p>
    <w:p w14:paraId="18C00A7F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1A5F6974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b) Las operaciones de préstamo, crédito y emisiones de deuda pública en todas sus modalidades realizadas por la corporación y por los organismos y entidades vinculadas o dependientes.</w:t>
      </w:r>
    </w:p>
    <w:p w14:paraId="595D4D46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6B6A50DE" w14:textId="77777777" w:rsidR="00B97409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c) Los avales y garantías prestadas en cualquier clase de crédito por la corporación y por los organismos y entidades vinculadas o dependientes.</w:t>
      </w:r>
    </w:p>
    <w:p w14:paraId="68AD37B4" w14:textId="77777777" w:rsidR="00B97409" w:rsidRPr="00C34109" w:rsidRDefault="00B97409" w:rsidP="00B97409">
      <w:pPr>
        <w:jc w:val="both"/>
        <w:rPr>
          <w:rFonts w:ascii="Arial Nova Light" w:hAnsi="Arial Nova Light"/>
          <w:szCs w:val="24"/>
        </w:rPr>
      </w:pPr>
    </w:p>
    <w:p w14:paraId="608FD088" w14:textId="35B29A88" w:rsidR="00072C4F" w:rsidRPr="00C34109" w:rsidRDefault="00B97409" w:rsidP="00C34109">
      <w:pPr>
        <w:ind w:firstLine="708"/>
        <w:jc w:val="both"/>
        <w:rPr>
          <w:rFonts w:ascii="Arial Nova Light" w:hAnsi="Arial Nova Light"/>
          <w:szCs w:val="24"/>
        </w:rPr>
      </w:pPr>
      <w:r w:rsidRPr="00C34109">
        <w:rPr>
          <w:rFonts w:ascii="Arial Nova Light" w:hAnsi="Arial Nova Light"/>
          <w:szCs w:val="24"/>
        </w:rPr>
        <w:t>d) Las operaciones de arrendamiento financiero suscritas por la corporación y por los organismos y entidades vinculadas o dependientes.</w:t>
      </w:r>
    </w:p>
    <w:sectPr w:rsidR="00072C4F" w:rsidRPr="00C341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3425" w14:textId="77777777" w:rsidR="007A5A2B" w:rsidRDefault="007A5A2B" w:rsidP="00DC4C38">
      <w:r>
        <w:separator/>
      </w:r>
    </w:p>
  </w:endnote>
  <w:endnote w:type="continuationSeparator" w:id="0">
    <w:p w14:paraId="6292728F" w14:textId="77777777" w:rsidR="007A5A2B" w:rsidRDefault="007A5A2B" w:rsidP="00D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90A" w14:textId="77777777" w:rsidR="007A5A2B" w:rsidRDefault="007A5A2B" w:rsidP="00DC4C38">
      <w:r>
        <w:separator/>
      </w:r>
    </w:p>
  </w:footnote>
  <w:footnote w:type="continuationSeparator" w:id="0">
    <w:p w14:paraId="4193164E" w14:textId="77777777" w:rsidR="007A5A2B" w:rsidRDefault="007A5A2B" w:rsidP="00DC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F061" w14:textId="2BC16C7D" w:rsidR="00DC4C38" w:rsidRDefault="00DC4C38">
    <w:pPr>
      <w:pStyle w:val="Encabezado"/>
    </w:pPr>
    <w:r>
      <w:rPr>
        <w:noProof/>
      </w:rPr>
      <w:drawing>
        <wp:inline distT="0" distB="0" distL="0" distR="0" wp14:anchorId="366BC02B" wp14:editId="31A6D5BC">
          <wp:extent cx="1705891" cy="662940"/>
          <wp:effectExtent l="0" t="0" r="8890" b="381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33" cy="6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510C"/>
    <w:multiLevelType w:val="hybridMultilevel"/>
    <w:tmpl w:val="E4A87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F4"/>
    <w:rsid w:val="00072C4F"/>
    <w:rsid w:val="001C6C2C"/>
    <w:rsid w:val="003F12F4"/>
    <w:rsid w:val="007A5A2B"/>
    <w:rsid w:val="007C225F"/>
    <w:rsid w:val="00B97409"/>
    <w:rsid w:val="00C34109"/>
    <w:rsid w:val="00D8685E"/>
    <w:rsid w:val="00DB0B65"/>
    <w:rsid w:val="00D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19E3"/>
  <w15:chartTrackingRefBased/>
  <w15:docId w15:val="{1A0173A2-D93D-4E29-8261-E7E43A4E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Prrafodelista">
    <w:name w:val="List Paragraph"/>
    <w:basedOn w:val="Normal"/>
    <w:uiPriority w:val="34"/>
    <w:qFormat/>
    <w:rsid w:val="00C341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4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4C38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C4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C38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9</cp:revision>
  <dcterms:created xsi:type="dcterms:W3CDTF">2023-01-25T10:53:00Z</dcterms:created>
  <dcterms:modified xsi:type="dcterms:W3CDTF">2023-01-25T14:03:00Z</dcterms:modified>
</cp:coreProperties>
</file>